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7865" w14:textId="77777777" w:rsidR="005D0C49" w:rsidRPr="004563E1" w:rsidRDefault="005D0C49" w:rsidP="005D0C49">
      <w:pPr>
        <w:spacing w:after="0" w:line="240" w:lineRule="auto"/>
        <w:jc w:val="center"/>
        <w:rPr>
          <w:rFonts w:ascii="Times New Roman" w:eastAsia="Times New Roman" w:hAnsi="Times New Roman" w:cs="Times New Roman"/>
          <w:sz w:val="28"/>
          <w:szCs w:val="28"/>
          <w:lang w:eastAsia="ru-RU"/>
        </w:rPr>
      </w:pPr>
      <w:r w:rsidRPr="004563E1">
        <w:rPr>
          <w:rFonts w:ascii="Times New Roman" w:eastAsia="Times New Roman" w:hAnsi="Times New Roman" w:cs="Times New Roman"/>
          <w:caps/>
          <w:sz w:val="28"/>
          <w:szCs w:val="28"/>
          <w:lang w:eastAsia="ru-RU"/>
        </w:rPr>
        <w:t>Налоговый кодекс Республики Беларусь (Особенная часть) </w:t>
      </w:r>
    </w:p>
    <w:p w14:paraId="1A07A6F7" w14:textId="77777777" w:rsidR="005D0C49" w:rsidRPr="004563E1" w:rsidRDefault="005D0C49" w:rsidP="005D0C49">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4563E1">
        <w:rPr>
          <w:rFonts w:ascii="Times New Roman" w:eastAsia="Times New Roman" w:hAnsi="Times New Roman" w:cs="Times New Roman"/>
          <w:sz w:val="28"/>
          <w:szCs w:val="28"/>
          <w:lang w:eastAsia="ru-RU"/>
        </w:rPr>
        <w:t>29 декабря 2009 г. № 71-З</w:t>
      </w:r>
    </w:p>
    <w:p w14:paraId="329D1757" w14:textId="77777777" w:rsidR="005D0C49" w:rsidRPr="004563E1" w:rsidRDefault="005D0C49" w:rsidP="005D0C49">
      <w:pPr>
        <w:spacing w:before="240" w:after="240" w:line="240" w:lineRule="auto"/>
        <w:ind w:right="2268"/>
        <w:rPr>
          <w:rFonts w:ascii="Times New Roman" w:eastAsia="Times New Roman" w:hAnsi="Times New Roman" w:cs="Times New Roman"/>
          <w:b/>
          <w:bCs/>
          <w:sz w:val="28"/>
          <w:szCs w:val="28"/>
          <w:lang w:eastAsia="ru-RU"/>
        </w:rPr>
      </w:pPr>
      <w:r w:rsidRPr="004563E1">
        <w:rPr>
          <w:rFonts w:ascii="Times New Roman" w:eastAsia="Times New Roman" w:hAnsi="Times New Roman" w:cs="Times New Roman"/>
          <w:b/>
          <w:bCs/>
          <w:sz w:val="28"/>
          <w:szCs w:val="28"/>
          <w:lang w:eastAsia="ru-RU"/>
        </w:rPr>
        <w:t>(Извлечение)</w:t>
      </w:r>
    </w:p>
    <w:p w14:paraId="4F9534A1" w14:textId="77777777" w:rsidR="005D0C49" w:rsidRPr="004563E1" w:rsidRDefault="005D0C49" w:rsidP="005D0C49">
      <w:pPr>
        <w:pStyle w:val="article"/>
        <w:rPr>
          <w:sz w:val="28"/>
          <w:szCs w:val="28"/>
        </w:rPr>
      </w:pPr>
      <w:r w:rsidRPr="004563E1">
        <w:rPr>
          <w:sz w:val="28"/>
          <w:szCs w:val="28"/>
        </w:rPr>
        <w:t>Статья 283. Плательщики государственной пошлины</w:t>
      </w:r>
    </w:p>
    <w:p w14:paraId="2A10DE07" w14:textId="77777777" w:rsidR="005D0C49" w:rsidRPr="004563E1" w:rsidRDefault="005D0C49" w:rsidP="005D0C49">
      <w:pPr>
        <w:pStyle w:val="newncpi"/>
        <w:rPr>
          <w:sz w:val="28"/>
          <w:szCs w:val="28"/>
        </w:rPr>
      </w:pPr>
      <w:r w:rsidRPr="004563E1">
        <w:rPr>
          <w:sz w:val="28"/>
          <w:szCs w:val="28"/>
        </w:rPr>
        <w:t>Плательщиками государственной пошлины признаются организации и физические лица, которые:</w:t>
      </w:r>
    </w:p>
    <w:p w14:paraId="64228EB4" w14:textId="77777777" w:rsidR="005D0C49" w:rsidRPr="004563E1" w:rsidRDefault="005D0C49" w:rsidP="005D0C49">
      <w:pPr>
        <w:pStyle w:val="newncpi"/>
        <w:rPr>
          <w:sz w:val="28"/>
          <w:szCs w:val="28"/>
        </w:rPr>
      </w:pPr>
      <w:r w:rsidRPr="004563E1">
        <w:rPr>
          <w:sz w:val="28"/>
          <w:szCs w:val="28"/>
        </w:rPr>
        <w:t>обращаются за совершением юридически значимых действий, включая предоставление определенных прав или выдачу отдельных документов (далее в настоящей главе – юридически значимые действия), в специально уполномоченные на то государственные органы, иные уполномоченные организации, к должностным лицам (далее в настоящей главе – органы, взимающие государственную пошлину);</w:t>
      </w:r>
    </w:p>
    <w:p w14:paraId="1CC97944" w14:textId="77777777" w:rsidR="005D0C49" w:rsidRPr="004563E1" w:rsidRDefault="005D0C49" w:rsidP="005D0C49">
      <w:pPr>
        <w:pStyle w:val="newncpi"/>
        <w:rPr>
          <w:sz w:val="28"/>
          <w:szCs w:val="28"/>
        </w:rPr>
      </w:pPr>
      <w:r w:rsidRPr="004563E1">
        <w:rPr>
          <w:sz w:val="28"/>
          <w:szCs w:val="28"/>
        </w:rPr>
        <w:t>выступают ответчиками (должниками) в судах, если при этом судебное постановление вынесено не в их пользу, а истец (взыскатель) освобожден от государственной пошлины в соответствии с настоящим Кодексом или актами Президента Республики Беларусь.</w:t>
      </w:r>
    </w:p>
    <w:p w14:paraId="783DF26D" w14:textId="77777777" w:rsidR="005D0C49" w:rsidRPr="004563E1" w:rsidRDefault="005D0C49" w:rsidP="005D0C49">
      <w:pPr>
        <w:spacing w:before="240" w:after="240" w:line="240" w:lineRule="auto"/>
        <w:ind w:left="1922" w:hanging="1355"/>
        <w:rPr>
          <w:rFonts w:ascii="Times New Roman" w:eastAsia="Times New Roman" w:hAnsi="Times New Roman" w:cs="Times New Roman"/>
          <w:b/>
          <w:bCs/>
          <w:sz w:val="28"/>
          <w:szCs w:val="28"/>
          <w:lang w:eastAsia="ru-RU"/>
        </w:rPr>
      </w:pPr>
      <w:r w:rsidRPr="004563E1">
        <w:rPr>
          <w:rFonts w:ascii="Times New Roman" w:eastAsia="Times New Roman" w:hAnsi="Times New Roman" w:cs="Times New Roman"/>
          <w:b/>
          <w:bCs/>
          <w:sz w:val="28"/>
          <w:szCs w:val="28"/>
          <w:lang w:eastAsia="ru-RU"/>
        </w:rPr>
        <w:t>Статья 284. Объекты обложения государственной пошлиной</w:t>
      </w:r>
    </w:p>
    <w:p w14:paraId="7B8A3FCC"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 Объектами обложения государственной пошлиной, если иное не установлено пунктом 2 настоящей статьи, признаются:</w:t>
      </w:r>
    </w:p>
    <w:p w14:paraId="01BE6D39"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1.7. совершение действий, связанных с регистрацией актов гражданского состояния;</w:t>
      </w:r>
    </w:p>
    <w:p w14:paraId="0170DDC8" w14:textId="77777777" w:rsidR="005D0C49" w:rsidRPr="004563E1" w:rsidRDefault="005D0C49" w:rsidP="005D0C49">
      <w:pPr>
        <w:pStyle w:val="article"/>
        <w:rPr>
          <w:sz w:val="28"/>
          <w:szCs w:val="28"/>
        </w:rPr>
      </w:pPr>
      <w:r w:rsidRPr="004563E1">
        <w:rPr>
          <w:sz w:val="28"/>
          <w:szCs w:val="28"/>
        </w:rPr>
        <w:t>Статья 286. Ставки государственной пошлины</w:t>
      </w:r>
    </w:p>
    <w:p w14:paraId="61F8EC5E" w14:textId="77777777" w:rsidR="005D0C49" w:rsidRPr="004563E1" w:rsidRDefault="005D0C49" w:rsidP="005D0C49">
      <w:pPr>
        <w:pStyle w:val="point"/>
        <w:rPr>
          <w:sz w:val="28"/>
          <w:szCs w:val="28"/>
        </w:rPr>
      </w:pPr>
      <w:r w:rsidRPr="004563E1">
        <w:rPr>
          <w:sz w:val="28"/>
          <w:szCs w:val="28"/>
        </w:rPr>
        <w:t>1. Ставки государственной пошлины устанавливаются в размерах согласно приложениям 13–22.</w:t>
      </w:r>
    </w:p>
    <w:p w14:paraId="2590B127" w14:textId="77777777" w:rsidR="005D0C49" w:rsidRPr="004563E1" w:rsidRDefault="005D0C49" w:rsidP="005D0C49">
      <w:pPr>
        <w:spacing w:before="240" w:after="240" w:line="240" w:lineRule="auto"/>
        <w:ind w:left="1922" w:hanging="1355"/>
        <w:rPr>
          <w:rFonts w:ascii="Times New Roman" w:eastAsia="Times New Roman" w:hAnsi="Times New Roman" w:cs="Times New Roman"/>
          <w:b/>
          <w:bCs/>
          <w:sz w:val="28"/>
          <w:szCs w:val="28"/>
          <w:lang w:eastAsia="ru-RU"/>
        </w:rPr>
      </w:pPr>
      <w:r w:rsidRPr="004563E1">
        <w:rPr>
          <w:rFonts w:ascii="Times New Roman" w:eastAsia="Times New Roman" w:hAnsi="Times New Roman" w:cs="Times New Roman"/>
          <w:b/>
          <w:bCs/>
          <w:sz w:val="28"/>
          <w:szCs w:val="28"/>
          <w:lang w:eastAsia="ru-RU"/>
        </w:rPr>
        <w:t>Статья 287. Сроки и порядок уплаты государственной пошлины</w:t>
      </w:r>
    </w:p>
    <w:p w14:paraId="3AE8F830"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 Государственная пошлина уплачивается, если иное не установлено пунктом 2 настоящей статьи:</w:t>
      </w:r>
    </w:p>
    <w:p w14:paraId="16862D2B"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14:paraId="347F9B65"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14:paraId="1E794431"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1.3. при обращении за выдачей документов (их копий, дубликатов) – до выдачи документов (их копий, дубликатов).</w:t>
      </w:r>
    </w:p>
    <w:p w14:paraId="2D39BEC1"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2. Государственная пошлина уплачивается:</w:t>
      </w:r>
    </w:p>
    <w:p w14:paraId="1B57B95F"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lastRenderedPageBreak/>
        <w:t>2.2. 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14:paraId="0F6F4163"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14:paraId="3A2C3E91"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объект почтовой связи – день отправления.</w:t>
      </w:r>
    </w:p>
    <w:p w14:paraId="4E692514"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14:paraId="32C05964"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14:paraId="1832251A"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14:paraId="56C60CC4"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14:paraId="06E4AF7F"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14:paraId="0E2D4B05"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lastRenderedPageBreak/>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системе ЕРИП.</w:t>
      </w:r>
    </w:p>
    <w:p w14:paraId="7AA3B4E9"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 </w:t>
      </w:r>
    </w:p>
    <w:p w14:paraId="75605463"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14:paraId="0B926303" w14:textId="77777777" w:rsidR="005D0C49" w:rsidRPr="004563E1" w:rsidRDefault="005D0C49" w:rsidP="005D0C49">
      <w:pPr>
        <w:pStyle w:val="point"/>
        <w:rPr>
          <w:sz w:val="28"/>
          <w:szCs w:val="28"/>
        </w:rPr>
      </w:pPr>
    </w:p>
    <w:p w14:paraId="09ED261C" w14:textId="77777777" w:rsidR="005D0C49" w:rsidRPr="004563E1" w:rsidRDefault="005D0C49" w:rsidP="005D0C49">
      <w:pPr>
        <w:spacing w:before="240" w:after="240" w:line="240" w:lineRule="auto"/>
        <w:ind w:left="1922" w:hanging="1355"/>
        <w:rPr>
          <w:rFonts w:ascii="Times New Roman" w:eastAsia="Times New Roman" w:hAnsi="Times New Roman" w:cs="Times New Roman"/>
          <w:b/>
          <w:bCs/>
          <w:sz w:val="28"/>
          <w:szCs w:val="28"/>
          <w:lang w:eastAsia="ru-RU"/>
        </w:rPr>
      </w:pPr>
      <w:r w:rsidRPr="004563E1">
        <w:rPr>
          <w:rFonts w:ascii="Times New Roman" w:eastAsia="Times New Roman" w:hAnsi="Times New Roman" w:cs="Times New Roman"/>
          <w:b/>
          <w:bCs/>
          <w:sz w:val="28"/>
          <w:szCs w:val="28"/>
          <w:lang w:eastAsia="ru-RU"/>
        </w:rPr>
        <w:t>Статья 285. Льготы по государственной пошлине</w:t>
      </w:r>
    </w:p>
    <w:p w14:paraId="69DBC69A"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 Освобождаются от государственной пошлины в органах, регистрирующих акты гражданского состояния:</w:t>
      </w:r>
    </w:p>
    <w:p w14:paraId="2F5EF842"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5.1. плательщики:</w:t>
      </w:r>
    </w:p>
    <w:p w14:paraId="6966CE8C"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5.1.1. за регистрацию рождения, усыновления (удочерения), установления материнства и (или) отцовства, смерти;</w:t>
      </w:r>
    </w:p>
    <w:p w14:paraId="280EB125"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 о смерти;</w:t>
      </w:r>
    </w:p>
    <w:p w14:paraId="56AE9B93"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14:paraId="03934D05"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14:paraId="44FE5A89"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14:paraId="6CE40991"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 xml:space="preserve">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w:t>
      </w:r>
      <w:r w:rsidRPr="004563E1">
        <w:rPr>
          <w:rFonts w:ascii="Times New Roman" w:eastAsia="Times New Roman" w:hAnsi="Times New Roman" w:cs="Times New Roman"/>
          <w:sz w:val="28"/>
          <w:szCs w:val="28"/>
          <w:lang w:eastAsia="ru-RU"/>
        </w:rPr>
        <w:lastRenderedPageBreak/>
        <w:t>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14:paraId="034FEAAD"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5.6. опекуны, попечители, детские интернатные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14:paraId="2BEAB103"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6.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14:paraId="6595827A"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6.1.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14:paraId="33BB709E"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6.2.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14:paraId="38DC1F43"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6.3. опекуны, попечители, детские интернатные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14:paraId="6FA81A37"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lastRenderedPageBreak/>
        <w:t>6.4.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14:paraId="1F0297C2"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w:t>
      </w:r>
    </w:p>
    <w:p w14:paraId="4184B6FB"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14:paraId="1B6C9C4B" w14:textId="77777777" w:rsidR="00353778" w:rsidRPr="004563E1" w:rsidRDefault="00353778" w:rsidP="00353778">
      <w:pPr>
        <w:pStyle w:val="article"/>
        <w:rPr>
          <w:sz w:val="28"/>
          <w:szCs w:val="28"/>
        </w:rPr>
      </w:pPr>
      <w:r w:rsidRPr="004563E1">
        <w:rPr>
          <w:sz w:val="28"/>
          <w:szCs w:val="28"/>
        </w:rPr>
        <w:t>Статья 292. Особенности возврата или зачета государственной пошлины</w:t>
      </w:r>
    </w:p>
    <w:p w14:paraId="30B4AC4F" w14:textId="77777777" w:rsidR="00353778" w:rsidRPr="004563E1" w:rsidRDefault="00353778" w:rsidP="00353778">
      <w:pPr>
        <w:pStyle w:val="point"/>
        <w:rPr>
          <w:sz w:val="28"/>
          <w:szCs w:val="28"/>
        </w:rPr>
      </w:pPr>
      <w:r w:rsidRPr="004563E1">
        <w:rPr>
          <w:sz w:val="28"/>
          <w:szCs w:val="28"/>
        </w:rPr>
        <w:t>1. Возврат или зачет плательщику государственной пошлины производятся в соответствии со статьей 66 настоящего Кодекса с учетом особенностей, установленных настоящей статьей.</w:t>
      </w:r>
    </w:p>
    <w:p w14:paraId="1E431BFB" w14:textId="77777777" w:rsidR="00353778" w:rsidRPr="004563E1" w:rsidRDefault="00353778" w:rsidP="00353778">
      <w:pPr>
        <w:pStyle w:val="point"/>
        <w:rPr>
          <w:sz w:val="28"/>
          <w:szCs w:val="28"/>
        </w:rPr>
      </w:pPr>
      <w:r w:rsidRPr="004563E1">
        <w:rPr>
          <w:sz w:val="28"/>
          <w:szCs w:val="28"/>
        </w:rPr>
        <w:t>2. Возврат или зачет плательщику полностью уплаченной суммы государственной пошлины производятся, если:</w:t>
      </w:r>
    </w:p>
    <w:p w14:paraId="0F953864" w14:textId="77777777" w:rsidR="00353778" w:rsidRPr="004563E1" w:rsidRDefault="00353778" w:rsidP="00353778">
      <w:pPr>
        <w:pStyle w:val="underpoint"/>
        <w:rPr>
          <w:sz w:val="28"/>
          <w:szCs w:val="28"/>
        </w:rPr>
      </w:pPr>
      <w:r w:rsidRPr="004563E1">
        <w:rPr>
          <w:sz w:val="28"/>
          <w:szCs w:val="28"/>
        </w:rPr>
        <w:t>2.1. государственная пошлина не должна была уплачиваться;</w:t>
      </w:r>
    </w:p>
    <w:p w14:paraId="6AA0FD63" w14:textId="77777777" w:rsidR="00353778" w:rsidRPr="004563E1" w:rsidRDefault="00353778" w:rsidP="00353778">
      <w:pPr>
        <w:pStyle w:val="underpoint"/>
        <w:rPr>
          <w:sz w:val="28"/>
          <w:szCs w:val="28"/>
        </w:rPr>
      </w:pPr>
      <w:r w:rsidRPr="004563E1">
        <w:rPr>
          <w:sz w:val="28"/>
          <w:szCs w:val="28"/>
        </w:rPr>
        <w:t>2.2. плательщик, уплативший государственную пошлину, отказывается от совершения юридически значимого действия до его совершения или до обращения в соответствующий орган, взимающий государственную пошлину;</w:t>
      </w:r>
    </w:p>
    <w:p w14:paraId="3D25AD7C" w14:textId="77777777" w:rsidR="00353778" w:rsidRPr="004563E1" w:rsidRDefault="00353778" w:rsidP="00353778">
      <w:pPr>
        <w:pStyle w:val="underpoint"/>
        <w:rPr>
          <w:sz w:val="28"/>
          <w:szCs w:val="28"/>
        </w:rPr>
      </w:pPr>
      <w:r w:rsidRPr="004563E1">
        <w:rPr>
          <w:sz w:val="28"/>
          <w:szCs w:val="28"/>
        </w:rPr>
        <w:t>2.3. плательщику отказано в совершении юридически значимого действия, являющегося объектом обложения государственной пошлиной;</w:t>
      </w:r>
    </w:p>
    <w:p w14:paraId="697D44D0" w14:textId="77777777" w:rsidR="00353778" w:rsidRPr="004563E1" w:rsidRDefault="00353778" w:rsidP="00353778">
      <w:pPr>
        <w:pStyle w:val="point"/>
        <w:rPr>
          <w:sz w:val="28"/>
          <w:szCs w:val="28"/>
        </w:rPr>
      </w:pPr>
      <w:r w:rsidRPr="004563E1">
        <w:rPr>
          <w:sz w:val="28"/>
          <w:szCs w:val="28"/>
        </w:rPr>
        <w:t>3. Плательщику производятся возврат или зачет частично уплаченной суммы государственной пошлины, если:</w:t>
      </w:r>
    </w:p>
    <w:p w14:paraId="05C5C671" w14:textId="77777777" w:rsidR="00353778" w:rsidRPr="004563E1" w:rsidRDefault="00353778" w:rsidP="00353778">
      <w:pPr>
        <w:pStyle w:val="underpoint"/>
        <w:rPr>
          <w:sz w:val="28"/>
          <w:szCs w:val="28"/>
        </w:rPr>
      </w:pPr>
      <w:r w:rsidRPr="004563E1">
        <w:rPr>
          <w:sz w:val="28"/>
          <w:szCs w:val="28"/>
        </w:rPr>
        <w:t>3.1. государственная пошлина уплачена в большем размере;</w:t>
      </w:r>
    </w:p>
    <w:p w14:paraId="0F5A9F97" w14:textId="77777777" w:rsidR="00353778" w:rsidRPr="004563E1" w:rsidRDefault="00353778" w:rsidP="00353778">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6. Возврат или зачет государственной пошлины производятся на основании заявления плательщика.</w:t>
      </w:r>
    </w:p>
    <w:p w14:paraId="22A922B9" w14:textId="77777777" w:rsidR="00353778" w:rsidRPr="004563E1" w:rsidRDefault="00353778" w:rsidP="00353778">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Заявление о возврате или зачете излишне уплаченной суммы государственной пошлины может быть подано плательщиком в налоговый орган не позднее пяти лет со дня ее уплаты или со дня принятия судом решения о возврате государственной пошлины из бюджета.</w:t>
      </w:r>
    </w:p>
    <w:p w14:paraId="4DA5D5E5" w14:textId="77777777" w:rsidR="005D0C49" w:rsidRPr="004563E1" w:rsidRDefault="005D0C49" w:rsidP="005D0C49">
      <w:pPr>
        <w:pStyle w:val="point"/>
        <w:rPr>
          <w:sz w:val="28"/>
          <w:szCs w:val="28"/>
        </w:rPr>
      </w:pPr>
    </w:p>
    <w:p w14:paraId="6E0B7EFE"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p>
    <w:p w14:paraId="4A13B715"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 </w:t>
      </w:r>
    </w:p>
    <w:tbl>
      <w:tblPr>
        <w:tblStyle w:val="tablencpi"/>
        <w:tblW w:w="5000" w:type="pct"/>
        <w:tblLook w:val="04A0" w:firstRow="1" w:lastRow="0" w:firstColumn="1" w:lastColumn="0" w:noHBand="0" w:noVBand="1"/>
      </w:tblPr>
      <w:tblGrid>
        <w:gridCol w:w="4819"/>
        <w:gridCol w:w="4820"/>
      </w:tblGrid>
      <w:tr w:rsidR="005D0C49" w:rsidRPr="004563E1" w14:paraId="60C6772C" w14:textId="77777777" w:rsidTr="005D0C49">
        <w:tc>
          <w:tcPr>
            <w:tcW w:w="2500" w:type="pct"/>
            <w:tcMar>
              <w:top w:w="0" w:type="dxa"/>
              <w:left w:w="6" w:type="dxa"/>
              <w:bottom w:w="0" w:type="dxa"/>
              <w:right w:w="6" w:type="dxa"/>
            </w:tcMar>
            <w:vAlign w:val="bottom"/>
            <w:hideMark/>
          </w:tcPr>
          <w:p w14:paraId="71636E2D" w14:textId="77777777" w:rsidR="005D0C49" w:rsidRPr="004563E1" w:rsidRDefault="005D0C49" w:rsidP="005D0C49">
            <w:pPr>
              <w:rPr>
                <w:sz w:val="28"/>
                <w:szCs w:val="28"/>
              </w:rPr>
            </w:pPr>
            <w:r w:rsidRPr="004563E1">
              <w:rPr>
                <w:b/>
                <w:bCs/>
                <w:sz w:val="28"/>
                <w:szCs w:val="28"/>
              </w:rPr>
              <w:t>Президент Республики Беларусь</w:t>
            </w:r>
          </w:p>
        </w:tc>
        <w:tc>
          <w:tcPr>
            <w:tcW w:w="2500" w:type="pct"/>
            <w:tcMar>
              <w:top w:w="0" w:type="dxa"/>
              <w:left w:w="6" w:type="dxa"/>
              <w:bottom w:w="0" w:type="dxa"/>
              <w:right w:w="6" w:type="dxa"/>
            </w:tcMar>
            <w:vAlign w:val="bottom"/>
            <w:hideMark/>
          </w:tcPr>
          <w:p w14:paraId="0E86B47A" w14:textId="77777777" w:rsidR="005D0C49" w:rsidRPr="004563E1" w:rsidRDefault="005D0C49" w:rsidP="005D0C49">
            <w:pPr>
              <w:jc w:val="right"/>
              <w:rPr>
                <w:sz w:val="28"/>
                <w:szCs w:val="28"/>
              </w:rPr>
            </w:pPr>
            <w:proofErr w:type="spellStart"/>
            <w:r w:rsidRPr="004563E1">
              <w:rPr>
                <w:b/>
                <w:bCs/>
                <w:sz w:val="28"/>
                <w:szCs w:val="28"/>
              </w:rPr>
              <w:t>А.Лукашенко</w:t>
            </w:r>
            <w:proofErr w:type="spellEnd"/>
          </w:p>
        </w:tc>
      </w:tr>
    </w:tbl>
    <w:p w14:paraId="38D6BE6F" w14:textId="77777777" w:rsidR="005D0C49" w:rsidRPr="004563E1" w:rsidRDefault="005D0C49" w:rsidP="005D0C49">
      <w:pPr>
        <w:spacing w:after="0" w:line="240" w:lineRule="auto"/>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 </w:t>
      </w:r>
    </w:p>
    <w:p w14:paraId="21546DEF" w14:textId="77777777" w:rsidR="005D0C49" w:rsidRPr="004563E1" w:rsidRDefault="005D0C49">
      <w:pPr>
        <w:pStyle w:val="newncpi"/>
        <w:rPr>
          <w:sz w:val="28"/>
          <w:szCs w:val="28"/>
        </w:rPr>
      </w:pPr>
    </w:p>
    <w:p w14:paraId="3F0A39D9" w14:textId="77777777" w:rsidR="00FA3A63" w:rsidRDefault="00FA3A63"/>
    <w:sectPr w:rsidR="00FA3A63" w:rsidSect="004563E1">
      <w:headerReference w:type="even" r:id="rId6"/>
      <w:headerReference w:type="default" r:id="rId7"/>
      <w:footerReference w:type="even" r:id="rId8"/>
      <w:footerReference w:type="default" r:id="rId9"/>
      <w:headerReference w:type="first" r:id="rId10"/>
      <w:footerReference w:type="first" r:id="rId11"/>
      <w:pgSz w:w="11906" w:h="16838"/>
      <w:pgMar w:top="851" w:right="566"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34A4" w14:textId="77777777" w:rsidR="005D0C49" w:rsidRDefault="005D0C49" w:rsidP="005D0C49">
      <w:pPr>
        <w:spacing w:after="0" w:line="240" w:lineRule="auto"/>
      </w:pPr>
      <w:r>
        <w:separator/>
      </w:r>
    </w:p>
  </w:endnote>
  <w:endnote w:type="continuationSeparator" w:id="0">
    <w:p w14:paraId="56A3B36C" w14:textId="77777777" w:rsidR="005D0C49" w:rsidRDefault="005D0C49" w:rsidP="005D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8184" w14:textId="77777777" w:rsidR="005D0C49" w:rsidRDefault="005D0C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9BAD" w14:textId="77777777" w:rsidR="005D0C49" w:rsidRDefault="005D0C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5D0C49" w14:paraId="6187C564" w14:textId="77777777" w:rsidTr="005D0C49">
      <w:tc>
        <w:tcPr>
          <w:tcW w:w="1800" w:type="dxa"/>
          <w:tcBorders>
            <w:bottom w:val="nil"/>
          </w:tcBorders>
          <w:shd w:val="clear" w:color="auto" w:fill="auto"/>
          <w:vAlign w:val="center"/>
        </w:tcPr>
        <w:p w14:paraId="00FBBAA4" w14:textId="77777777" w:rsidR="005D0C49" w:rsidRDefault="005D0C49">
          <w:pPr>
            <w:pStyle w:val="a5"/>
          </w:pPr>
          <w:r>
            <w:rPr>
              <w:noProof/>
            </w:rPr>
            <w:drawing>
              <wp:inline distT="0" distB="0" distL="0" distR="0" wp14:anchorId="71604DBE" wp14:editId="16936065">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r>
            <w:rPr>
              <w:noProof/>
            </w:rPr>
            <w:drawing>
              <wp:inline distT="0" distB="0" distL="0" distR="0" wp14:anchorId="2EE5CB99" wp14:editId="40C07C4E">
                <wp:extent cx="1292352" cy="390144"/>
                <wp:effectExtent l="0" t="0" r="3175" b="0"/>
                <wp:docPr id="4" name="Рисунок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099" w:type="dxa"/>
          <w:shd w:val="clear" w:color="auto" w:fill="auto"/>
          <w:vAlign w:val="center"/>
        </w:tcPr>
        <w:p w14:paraId="5433D6F4" w14:textId="77777777" w:rsidR="005D0C49" w:rsidRDefault="005D0C4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06.12.2022</w:t>
          </w:r>
        </w:p>
        <w:p w14:paraId="63CA4361" w14:textId="77777777" w:rsidR="005D0C49" w:rsidRPr="005D0C49" w:rsidRDefault="005D0C4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0AC6F69" w14:textId="77777777" w:rsidR="005D0C49" w:rsidRDefault="005D0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1360" w14:textId="77777777" w:rsidR="005D0C49" w:rsidRDefault="005D0C49" w:rsidP="005D0C49">
      <w:pPr>
        <w:spacing w:after="0" w:line="240" w:lineRule="auto"/>
      </w:pPr>
      <w:r>
        <w:separator/>
      </w:r>
    </w:p>
  </w:footnote>
  <w:footnote w:type="continuationSeparator" w:id="0">
    <w:p w14:paraId="234E535C" w14:textId="77777777" w:rsidR="005D0C49" w:rsidRDefault="005D0C49" w:rsidP="005D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AC68" w14:textId="77777777" w:rsidR="005D0C49" w:rsidRDefault="005D0C49" w:rsidP="00A32BB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19BCDDC3" w14:textId="77777777" w:rsidR="005D0C49" w:rsidRDefault="005D0C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9F1" w14:textId="77777777" w:rsidR="005D0C49" w:rsidRDefault="005D0C49" w:rsidP="00A32BB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14:paraId="34D91832" w14:textId="77777777" w:rsidR="005D0C49" w:rsidRDefault="005D0C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055D" w14:textId="77777777" w:rsidR="005D0C49" w:rsidRPr="005D0C49" w:rsidRDefault="005D0C49">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49"/>
    <w:rsid w:val="00353778"/>
    <w:rsid w:val="004563E1"/>
    <w:rsid w:val="005D0C49"/>
    <w:rsid w:val="00FA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DFC6F"/>
  <w15:chartTrackingRefBased/>
  <w15:docId w15:val="{0F403E00-32F1-4EDE-90FD-1A2B5525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D0C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newncpi">
    <w:name w:val="newncpi"/>
    <w:basedOn w:val="a"/>
    <w:rsid w:val="005D0C49"/>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D0C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C49"/>
  </w:style>
  <w:style w:type="paragraph" w:styleId="a5">
    <w:name w:val="footer"/>
    <w:basedOn w:val="a"/>
    <w:link w:val="a6"/>
    <w:uiPriority w:val="99"/>
    <w:unhideWhenUsed/>
    <w:rsid w:val="005D0C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0C49"/>
  </w:style>
  <w:style w:type="character" w:styleId="a7">
    <w:name w:val="page number"/>
    <w:basedOn w:val="a0"/>
    <w:uiPriority w:val="99"/>
    <w:semiHidden/>
    <w:unhideWhenUsed/>
    <w:rsid w:val="005D0C49"/>
  </w:style>
  <w:style w:type="table" w:styleId="a8">
    <w:name w:val="Table Grid"/>
    <w:basedOn w:val="a1"/>
    <w:uiPriority w:val="39"/>
    <w:rsid w:val="005D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cpi">
    <w:name w:val="tablencpi"/>
    <w:basedOn w:val="a1"/>
    <w:rsid w:val="005D0C4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point">
    <w:name w:val="point"/>
    <w:basedOn w:val="a"/>
    <w:rsid w:val="005D0C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D0C49"/>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971">
      <w:marLeft w:val="0"/>
      <w:marRight w:val="0"/>
      <w:marTop w:val="0"/>
      <w:marBottom w:val="0"/>
      <w:divBdr>
        <w:top w:val="none" w:sz="0" w:space="0" w:color="auto"/>
        <w:left w:val="none" w:sz="0" w:space="0" w:color="auto"/>
        <w:bottom w:val="none" w:sz="0" w:space="0" w:color="auto"/>
        <w:right w:val="none" w:sz="0" w:space="0" w:color="auto"/>
      </w:divBdr>
    </w:div>
    <w:div w:id="1362627735">
      <w:marLeft w:val="0"/>
      <w:marRight w:val="0"/>
      <w:marTop w:val="0"/>
      <w:marBottom w:val="0"/>
      <w:divBdr>
        <w:top w:val="none" w:sz="0" w:space="0" w:color="auto"/>
        <w:left w:val="none" w:sz="0" w:space="0" w:color="auto"/>
        <w:bottom w:val="none" w:sz="0" w:space="0" w:color="auto"/>
        <w:right w:val="none" w:sz="0" w:space="0" w:color="auto"/>
      </w:divBdr>
    </w:div>
    <w:div w:id="1620795382">
      <w:marLeft w:val="0"/>
      <w:marRight w:val="0"/>
      <w:marTop w:val="0"/>
      <w:marBottom w:val="0"/>
      <w:divBdr>
        <w:top w:val="none" w:sz="0" w:space="0" w:color="auto"/>
        <w:left w:val="none" w:sz="0" w:space="0" w:color="auto"/>
        <w:bottom w:val="none" w:sz="0" w:space="0" w:color="auto"/>
        <w:right w:val="none" w:sz="0" w:space="0" w:color="auto"/>
      </w:divBdr>
    </w:div>
    <w:div w:id="1910773298">
      <w:marLeft w:val="0"/>
      <w:marRight w:val="0"/>
      <w:marTop w:val="0"/>
      <w:marBottom w:val="0"/>
      <w:divBdr>
        <w:top w:val="none" w:sz="0" w:space="0" w:color="auto"/>
        <w:left w:val="none" w:sz="0" w:space="0" w:color="auto"/>
        <w:bottom w:val="none" w:sz="0" w:space="0" w:color="auto"/>
        <w:right w:val="none" w:sz="0" w:space="0" w:color="auto"/>
      </w:divBdr>
    </w:div>
    <w:div w:id="2127381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1532</Words>
  <Characters>11390</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2</cp:revision>
  <dcterms:created xsi:type="dcterms:W3CDTF">2022-12-06T08:23:00Z</dcterms:created>
  <dcterms:modified xsi:type="dcterms:W3CDTF">2022-12-06T08:38:00Z</dcterms:modified>
</cp:coreProperties>
</file>