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D6E1B" w14:textId="77777777" w:rsidR="00036F7C" w:rsidRDefault="004F7C8D" w:rsidP="004F7C8D">
      <w:pPr>
        <w:spacing w:after="0" w:line="228" w:lineRule="auto"/>
        <w:jc w:val="both"/>
        <w:rPr>
          <w:rFonts w:ascii="Times New Roman" w:hAnsi="Times New Roman"/>
          <w:b/>
          <w:bCs/>
          <w:sz w:val="30"/>
          <w:szCs w:val="30"/>
        </w:rPr>
      </w:pPr>
      <w:r w:rsidRPr="008134D0">
        <w:rPr>
          <w:rFonts w:ascii="Times New Roman" w:hAnsi="Times New Roman"/>
          <w:b/>
          <w:bCs/>
          <w:sz w:val="30"/>
          <w:szCs w:val="30"/>
        </w:rPr>
        <w:t>НАРКОПОТРЕБЛЕНИЕ КАК ОБЩЕМИРОВАЯ УГРОЗА. ПРОФИЛАКТИКА  НАРКОМАНИИ В РЕСПУБЛИКЕ БЕЛАРУСЬ. ИСПОЛЬЗОВАНИЕ ЭКСПРЕСС-ТЕСТОВ ДЛЯ ВЫЯВЛЕНИЯ ПСИХОАКТИВНЫХ ВЕЩЕСТВ.</w:t>
      </w:r>
      <w:r w:rsidR="00036F7C">
        <w:rPr>
          <w:rFonts w:ascii="Times New Roman" w:hAnsi="Times New Roman"/>
          <w:b/>
          <w:bCs/>
          <w:sz w:val="30"/>
          <w:szCs w:val="30"/>
        </w:rPr>
        <w:t xml:space="preserve"> </w:t>
      </w:r>
    </w:p>
    <w:p w14:paraId="696FDEB9" w14:textId="5FC049D6" w:rsidR="00637AB6" w:rsidRPr="008134D0" w:rsidRDefault="00036F7C" w:rsidP="004F7C8D">
      <w:pPr>
        <w:spacing w:after="0" w:line="228" w:lineRule="auto"/>
        <w:jc w:val="both"/>
        <w:rPr>
          <w:rFonts w:ascii="Times New Roman" w:hAnsi="Times New Roman"/>
          <w:b/>
          <w:bCs/>
          <w:sz w:val="30"/>
          <w:szCs w:val="30"/>
        </w:rPr>
      </w:pPr>
      <w:r>
        <w:rPr>
          <w:rFonts w:ascii="Times New Roman" w:hAnsi="Times New Roman"/>
          <w:b/>
          <w:bCs/>
          <w:sz w:val="30"/>
          <w:szCs w:val="30"/>
        </w:rPr>
        <w:t>ОБЩАЯ ИНФОРМАЦИЯ ПО СЛОНИМСКОМУ РАЙОНУ.</w:t>
      </w:r>
    </w:p>
    <w:p w14:paraId="03C04BA2" w14:textId="77777777" w:rsidR="00637AB6" w:rsidRPr="008134D0" w:rsidRDefault="00637AB6" w:rsidP="004F7C8D">
      <w:pPr>
        <w:spacing w:after="0" w:line="228" w:lineRule="auto"/>
        <w:ind w:firstLine="708"/>
        <w:jc w:val="both"/>
        <w:rPr>
          <w:rFonts w:ascii="Times New Roman" w:hAnsi="Times New Roman"/>
          <w:sz w:val="30"/>
          <w:szCs w:val="30"/>
        </w:rPr>
      </w:pPr>
    </w:p>
    <w:p w14:paraId="032232F6" w14:textId="236EE194"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b/>
          <w:bCs/>
          <w:sz w:val="30"/>
          <w:szCs w:val="30"/>
        </w:rPr>
        <w:t>Наркомания</w:t>
      </w:r>
      <w:r w:rsidRPr="008134D0">
        <w:rPr>
          <w:rFonts w:ascii="Times New Roman" w:hAnsi="Times New Roman"/>
          <w:sz w:val="30"/>
          <w:szCs w:val="30"/>
        </w:rPr>
        <w:t xml:space="preserve"> – одна из главных проблем всего мирового сообщества. Согласно Всемирному докладу о наркотиках</w:t>
      </w:r>
      <w:r w:rsidR="00AD298A">
        <w:rPr>
          <w:rFonts w:ascii="Times New Roman" w:hAnsi="Times New Roman"/>
          <w:sz w:val="30"/>
          <w:szCs w:val="30"/>
        </w:rPr>
        <w:t xml:space="preserve"> </w:t>
      </w:r>
      <w:r w:rsidRPr="008134D0">
        <w:rPr>
          <w:rFonts w:ascii="Times New Roman" w:hAnsi="Times New Roman"/>
          <w:sz w:val="30"/>
          <w:szCs w:val="30"/>
        </w:rPr>
        <w:t>около 275 млн человек во всем мире употребляли наркотики за прошедший год, а более 36 млн человек страдали от расстройств, связанных с употреблением наркотиков.</w:t>
      </w:r>
    </w:p>
    <w:p w14:paraId="5209C82E"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14:paraId="5C516B1F" w14:textId="6E92C009"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Таким образом, наркопотребление является большой проблемой, требующей пристального и неослабевающего внимания как государства, так и каждого из нас. </w:t>
      </w:r>
    </w:p>
    <w:p w14:paraId="2D7BEDAD" w14:textId="75DDD2A8"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Сегодня наблюдается устойчивая тенденция омоложения лиц, вовлеченных в незаконный оборот наркотиков. По итогам 202</w:t>
      </w:r>
      <w:r w:rsidR="008E3EB0">
        <w:rPr>
          <w:rFonts w:ascii="Times New Roman" w:hAnsi="Times New Roman"/>
          <w:sz w:val="30"/>
          <w:szCs w:val="30"/>
        </w:rPr>
        <w:t>2</w:t>
      </w:r>
      <w:r w:rsidRPr="008134D0">
        <w:rPr>
          <w:rFonts w:ascii="Times New Roman" w:hAnsi="Times New Roman"/>
          <w:sz w:val="30"/>
          <w:szCs w:val="30"/>
        </w:rPr>
        <w:t xml:space="preserve">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14:paraId="0659C73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14:paraId="3D3B3EE6"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14:paraId="7DD5D488"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Основным ресурсом для распространения наркотиков остается интернет. В глобальной сети часто встречается заманчивая реклама о </w:t>
      </w:r>
      <w:r w:rsidRPr="008134D0">
        <w:rPr>
          <w:rFonts w:ascii="Times New Roman" w:hAnsi="Times New Roman"/>
          <w:sz w:val="30"/>
          <w:szCs w:val="30"/>
        </w:rPr>
        <w:lastRenderedPageBreak/>
        <w:t>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Telegram или VIPole.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14:paraId="0F476DEE"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14:paraId="4250F52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14:paraId="36D929F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Иногда интернет-магазин за вовлечение в сбыт наркотиков друга или знакомого обещает премию в размере от $200 до $1 тыс.</w:t>
      </w:r>
    </w:p>
    <w:p w14:paraId="442BB1E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К примеру, в ноябре 2021 года в Осиповичах сотрудниками наркоконтроля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14:paraId="5B56096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14:paraId="7C017E6A" w14:textId="77777777" w:rsidR="00637AB6" w:rsidRPr="008134D0" w:rsidRDefault="00637AB6" w:rsidP="008134D0">
      <w:pPr>
        <w:spacing w:after="0" w:line="228" w:lineRule="auto"/>
        <w:ind w:firstLine="708"/>
        <w:jc w:val="both"/>
        <w:rPr>
          <w:rFonts w:ascii="Times New Roman" w:hAnsi="Times New Roman"/>
          <w:b/>
          <w:bCs/>
          <w:sz w:val="30"/>
          <w:szCs w:val="30"/>
        </w:rPr>
      </w:pPr>
    </w:p>
    <w:p w14:paraId="38D6EF1B" w14:textId="78ACAAAC"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Ответственность, предусмотренная в Республике Беларусь за употребление и незаконный оборот наркотических средств</w:t>
      </w:r>
    </w:p>
    <w:p w14:paraId="0A33778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Уголовная ответственность в сфере незаконного оборота наркотиков прописана в ст.ст.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14:paraId="737CEB8D" w14:textId="77777777"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Справочно.</w:t>
      </w:r>
    </w:p>
    <w:p w14:paraId="1A656FF2" w14:textId="77777777"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408443CC"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14:paraId="2D29BB62"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 1 ст. 328 УК), с целью</w:t>
      </w:r>
    </w:p>
    <w:p w14:paraId="3506630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сбыта – лишение свободы от 3 до 20 лет со штрафом или без штрафа (ч. 2–4 ст. 328 УК).</w:t>
      </w:r>
    </w:p>
    <w:p w14:paraId="51113DB6"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1D793DD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(ч.ч. 3–5 ст. 19.3 Кодекса Республики Беларусь об административных правонарушениях).</w:t>
      </w:r>
    </w:p>
    <w:p w14:paraId="0EB447C8" w14:textId="77777777" w:rsidR="00637AB6" w:rsidRPr="008134D0" w:rsidRDefault="00637AB6" w:rsidP="008134D0">
      <w:pPr>
        <w:spacing w:after="0" w:line="228" w:lineRule="auto"/>
        <w:ind w:firstLine="708"/>
        <w:jc w:val="both"/>
        <w:rPr>
          <w:rFonts w:ascii="Times New Roman" w:hAnsi="Times New Roman"/>
          <w:sz w:val="30"/>
          <w:szCs w:val="30"/>
        </w:rPr>
      </w:pPr>
    </w:p>
    <w:p w14:paraId="35328B70" w14:textId="77777777"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Что необходимо знать родителям?</w:t>
      </w:r>
    </w:p>
    <w:p w14:paraId="6F1C21F9"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14:paraId="255048F1"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14:paraId="140B0638"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Что должно вызывать тревогу:</w:t>
      </w:r>
    </w:p>
    <w:p w14:paraId="05FA3C7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у подростка появилось много денег;</w:t>
      </w:r>
    </w:p>
    <w:p w14:paraId="6BEE0B2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покупает дорогие вещи;</w:t>
      </w:r>
    </w:p>
    <w:p w14:paraId="262DB46D"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использует электронные кошельки;</w:t>
      </w:r>
    </w:p>
    <w:p w14:paraId="426F7F5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имеет карты на других владельцев;</w:t>
      </w:r>
    </w:p>
    <w:p w14:paraId="4A75A40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попытки регистрации на крипто-обменных площадках;</w:t>
      </w:r>
    </w:p>
    <w:p w14:paraId="1E22251E"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часто уходит из дома;</w:t>
      </w:r>
    </w:p>
    <w:p w14:paraId="1EF6A67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в телефоне фотографий местности;</w:t>
      </w:r>
    </w:p>
    <w:p w14:paraId="775C463E"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использует мессенджеры «Vipole», «Telegram»;</w:t>
      </w:r>
    </w:p>
    <w:p w14:paraId="29FFA8C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в телефоне приложений, позволяющих определять GPS-координаты и накладывать их на фотографии (NoteCam или его аналоги);</w:t>
      </w:r>
    </w:p>
    <w:p w14:paraId="4FFA44F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при разговоре использует следующие слова: скорость, гарик, кристалл, меф, соль, марафон, приход, кумар и др.;</w:t>
      </w:r>
    </w:p>
    <w:p w14:paraId="4F338DF1"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использование приложений, основная цель которых — скрыть истинное местонахождение пользователя в сети;</w:t>
      </w:r>
    </w:p>
    <w:p w14:paraId="07D93FD4"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электронных весов, пакетиков для упаковки, респиратора.</w:t>
      </w:r>
    </w:p>
    <w:p w14:paraId="41DD35F2" w14:textId="77777777" w:rsidR="00637AB6" w:rsidRPr="008134D0" w:rsidRDefault="00637AB6" w:rsidP="008134D0">
      <w:pPr>
        <w:spacing w:after="0" w:line="228" w:lineRule="auto"/>
        <w:jc w:val="both"/>
        <w:rPr>
          <w:rFonts w:ascii="Times New Roman" w:hAnsi="Times New Roman"/>
          <w:sz w:val="30"/>
          <w:szCs w:val="30"/>
        </w:rPr>
      </w:pPr>
    </w:p>
    <w:p w14:paraId="235A94DE" w14:textId="77777777"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Последствия употребления наркотиков</w:t>
      </w:r>
    </w:p>
    <w:p w14:paraId="650DD752"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14:paraId="5F0A5A5A" w14:textId="31D22D84"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2AB9C8F4"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14:paraId="345F03CB" w14:textId="77777777"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Справочно.</w:t>
      </w:r>
    </w:p>
    <w:p w14:paraId="6728FE89" w14:textId="74F04191"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14:paraId="3234347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Страшная история случилась в июле текущего года в г. Минске. Трое десятиклассников, желая получить острые ощущения, приобрели метадон.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14:paraId="17CCF31A"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14:paraId="2C96DF5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Оба молодых человека длительное время находились в реанимации. К сожалению, несмотря на все усилия врачей, одного из парней спасти не удалось.</w:t>
      </w:r>
    </w:p>
    <w:p w14:paraId="1AB69A18" w14:textId="77777777" w:rsidR="00637AB6" w:rsidRPr="008134D0" w:rsidRDefault="00637AB6" w:rsidP="008134D0">
      <w:pPr>
        <w:spacing w:after="0" w:line="228" w:lineRule="auto"/>
        <w:ind w:firstLine="708"/>
        <w:jc w:val="both"/>
        <w:rPr>
          <w:rFonts w:ascii="Times New Roman" w:hAnsi="Times New Roman"/>
          <w:sz w:val="30"/>
          <w:szCs w:val="30"/>
        </w:rPr>
      </w:pPr>
    </w:p>
    <w:p w14:paraId="4600A1D4" w14:textId="77777777"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Внешние признаки наркопотребления независимо от вида наркотика</w:t>
      </w:r>
    </w:p>
    <w:p w14:paraId="214D27C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27FB7DA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14:paraId="7610DF6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14:paraId="0058AF1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кожных покровов: бледность лица и всей кожи или чрезмерное покраснение лица и верхней части туловища; наличие гнойничков на коже.</w:t>
      </w:r>
    </w:p>
    <w:p w14:paraId="6542ED3C"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14:paraId="539400B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6FED817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14:paraId="058CA98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14:paraId="00500D64"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14:paraId="1A1E600A"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жидкостного обмена: повышенные потливость, слюноотделение или, наоборот, сухость во рту, сухость губ.</w:t>
      </w:r>
    </w:p>
    <w:p w14:paraId="1A5727A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14:paraId="1C9895C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Необходимо обращать внимание и на наличие в телефоне специальных программ для переписки, таких как Vipole, а также изучать саму переписку, в том числе имеющиеся фотографии и скриншоты с географическими координатами.</w:t>
      </w:r>
    </w:p>
    <w:p w14:paraId="24B6BF1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14:paraId="11CE234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14:paraId="2C2B7A8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14:paraId="1B07BDC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 откладывайте решительных действий. Если имеются явные признаки потребления наркотиков ребенком, обращайтесь за профессиональной помощью.</w:t>
      </w:r>
    </w:p>
    <w:p w14:paraId="130801AA"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online.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созависимым и тем, кто находится в стадии ремиссии. Кроме того, в круглосуточном режиме работает онлайн-консультант.</w:t>
      </w:r>
    </w:p>
    <w:p w14:paraId="35349B18"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14:paraId="20CA7362" w14:textId="77777777" w:rsidR="00637AB6" w:rsidRPr="008134D0" w:rsidRDefault="00637AB6" w:rsidP="008134D0">
      <w:pPr>
        <w:spacing w:after="0" w:line="228" w:lineRule="auto"/>
        <w:jc w:val="both"/>
        <w:rPr>
          <w:rFonts w:ascii="Times New Roman" w:hAnsi="Times New Roman"/>
          <w:sz w:val="30"/>
          <w:szCs w:val="30"/>
        </w:rPr>
      </w:pPr>
    </w:p>
    <w:p w14:paraId="7F5E8523" w14:textId="68268A4C" w:rsidR="004F7C8D"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Экспресс-тест для выявления психоактивных веществ. Как тайное сделать явным?</w:t>
      </w:r>
    </w:p>
    <w:p w14:paraId="0CB497B6"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Экспресс-тесты на применение человеком психоактивных веществ имеются в аптечной сети в свободной реализации и отпускаются без рецепта врача. </w:t>
      </w:r>
    </w:p>
    <w:p w14:paraId="072CCC81"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монотесты для проведения экспресс-анализа на конкретный препарат (амфетамин, марихуану и т.д.), так и мультитесты,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14:paraId="5CAE2AD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14:paraId="20AF040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14:paraId="753A4CA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экстази – 2 суток, амфетамин и метамфетамин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14:paraId="0129B254" w14:textId="5E6B516A"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b/>
          <w:bCs/>
          <w:sz w:val="30"/>
          <w:szCs w:val="30"/>
        </w:rPr>
        <w:t>Важно:</w:t>
      </w:r>
      <w:r w:rsidRPr="008134D0">
        <w:rPr>
          <w:rFonts w:ascii="Times New Roman" w:hAnsi="Times New Roman"/>
          <w:sz w:val="30"/>
          <w:szCs w:val="30"/>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14:paraId="31F2B621" w14:textId="77777777" w:rsidR="00637AB6" w:rsidRPr="008134D0" w:rsidRDefault="00637AB6" w:rsidP="008134D0">
      <w:pPr>
        <w:spacing w:after="0" w:line="228" w:lineRule="auto"/>
        <w:ind w:firstLine="708"/>
        <w:jc w:val="both"/>
        <w:rPr>
          <w:rFonts w:ascii="Times New Roman" w:hAnsi="Times New Roman"/>
          <w:sz w:val="30"/>
          <w:szCs w:val="30"/>
        </w:rPr>
      </w:pPr>
    </w:p>
    <w:p w14:paraId="4741DC0A" w14:textId="77777777" w:rsidR="00637AB6" w:rsidRPr="008134D0" w:rsidRDefault="00637AB6" w:rsidP="008134D0">
      <w:pPr>
        <w:spacing w:after="0" w:line="228" w:lineRule="auto"/>
        <w:ind w:firstLine="708"/>
        <w:jc w:val="center"/>
        <w:rPr>
          <w:rFonts w:ascii="Times New Roman" w:hAnsi="Times New Roman"/>
          <w:sz w:val="30"/>
          <w:szCs w:val="30"/>
        </w:rPr>
      </w:pPr>
      <w:r w:rsidRPr="008134D0">
        <w:rPr>
          <w:rFonts w:ascii="Times New Roman" w:hAnsi="Times New Roman"/>
          <w:sz w:val="30"/>
          <w:szCs w:val="30"/>
        </w:rPr>
        <w:t>***</w:t>
      </w:r>
    </w:p>
    <w:p w14:paraId="44A3537C"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14:paraId="48C68C72"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14:paraId="0406C77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Как отметил Президент Республики Беларусь А.Г.Лукашенко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14:paraId="131DB4E2" w14:textId="77777777" w:rsidR="00637AB6" w:rsidRPr="008134D0" w:rsidRDefault="00637AB6" w:rsidP="008134D0">
      <w:pPr>
        <w:spacing w:after="0" w:line="228" w:lineRule="auto"/>
        <w:ind w:firstLine="708"/>
        <w:jc w:val="both"/>
        <w:rPr>
          <w:rFonts w:ascii="Times New Roman" w:hAnsi="Times New Roman"/>
          <w:sz w:val="30"/>
          <w:szCs w:val="30"/>
        </w:rPr>
      </w:pPr>
    </w:p>
    <w:p w14:paraId="18144375" w14:textId="5C6C9AD9" w:rsidR="00973D7E" w:rsidRPr="008134D0" w:rsidRDefault="00973D7E" w:rsidP="008134D0">
      <w:pPr>
        <w:spacing w:after="0" w:line="228" w:lineRule="auto"/>
        <w:ind w:firstLine="708"/>
        <w:jc w:val="right"/>
        <w:rPr>
          <w:rFonts w:ascii="Times New Roman" w:hAnsi="Times New Roman"/>
          <w:i/>
          <w:iCs/>
          <w:sz w:val="30"/>
          <w:szCs w:val="30"/>
        </w:rPr>
      </w:pPr>
    </w:p>
    <w:p w14:paraId="4D7D4B47" w14:textId="289B25A3" w:rsidR="00973D7E" w:rsidRDefault="00036F7C" w:rsidP="00036F7C">
      <w:pPr>
        <w:spacing w:after="0" w:line="228" w:lineRule="auto"/>
        <w:ind w:firstLine="708"/>
        <w:rPr>
          <w:rFonts w:ascii="Times New Roman" w:hAnsi="Times New Roman"/>
          <w:i/>
          <w:iCs/>
          <w:sz w:val="30"/>
          <w:szCs w:val="30"/>
        </w:rPr>
      </w:pPr>
      <w:r>
        <w:rPr>
          <w:rFonts w:ascii="Times New Roman" w:hAnsi="Times New Roman"/>
          <w:i/>
          <w:iCs/>
          <w:sz w:val="30"/>
          <w:szCs w:val="30"/>
        </w:rPr>
        <w:t>ОБЩАЯ ИНФОРМАЦИЯ ПО СЛОНИМСКОМУ РАЙОНУ</w:t>
      </w:r>
    </w:p>
    <w:p w14:paraId="62FFB02F" w14:textId="77777777" w:rsidR="00F11F91" w:rsidRDefault="00F11F91" w:rsidP="00036F7C">
      <w:pPr>
        <w:spacing w:after="0" w:line="228" w:lineRule="auto"/>
        <w:ind w:firstLine="708"/>
        <w:rPr>
          <w:rFonts w:ascii="Times New Roman" w:hAnsi="Times New Roman"/>
          <w:i/>
          <w:iCs/>
          <w:sz w:val="30"/>
          <w:szCs w:val="30"/>
        </w:rPr>
      </w:pPr>
    </w:p>
    <w:p w14:paraId="1F792FD7" w14:textId="77777777" w:rsid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На 01.07.2023</w:t>
      </w:r>
      <w:r>
        <w:rPr>
          <w:rFonts w:ascii="Times New Roman" w:hAnsi="Times New Roman"/>
          <w:i/>
          <w:iCs/>
          <w:sz w:val="30"/>
          <w:szCs w:val="30"/>
        </w:rPr>
        <w:t xml:space="preserve"> </w:t>
      </w:r>
      <w:r w:rsidRPr="00036F7C">
        <w:rPr>
          <w:rFonts w:ascii="Times New Roman" w:hAnsi="Times New Roman"/>
          <w:i/>
          <w:iCs/>
          <w:sz w:val="30"/>
          <w:szCs w:val="30"/>
        </w:rPr>
        <w:t>г</w:t>
      </w:r>
      <w:r>
        <w:rPr>
          <w:rFonts w:ascii="Times New Roman" w:hAnsi="Times New Roman"/>
          <w:i/>
          <w:iCs/>
          <w:sz w:val="30"/>
          <w:szCs w:val="30"/>
        </w:rPr>
        <w:t>.</w:t>
      </w:r>
      <w:r w:rsidRPr="00036F7C">
        <w:rPr>
          <w:rFonts w:ascii="Times New Roman" w:hAnsi="Times New Roman"/>
          <w:i/>
          <w:iCs/>
          <w:sz w:val="30"/>
          <w:szCs w:val="30"/>
        </w:rPr>
        <w:t xml:space="preserve"> </w:t>
      </w:r>
      <w:r>
        <w:rPr>
          <w:rFonts w:ascii="Times New Roman" w:hAnsi="Times New Roman"/>
          <w:i/>
          <w:iCs/>
          <w:sz w:val="30"/>
          <w:szCs w:val="30"/>
        </w:rPr>
        <w:t xml:space="preserve">в Слонимском районе </w:t>
      </w:r>
      <w:r w:rsidRPr="00036F7C">
        <w:rPr>
          <w:rFonts w:ascii="Times New Roman" w:hAnsi="Times New Roman"/>
          <w:i/>
          <w:iCs/>
          <w:sz w:val="30"/>
          <w:szCs w:val="30"/>
        </w:rPr>
        <w:t xml:space="preserve">число пациентов состоящих на ДУ и ПУ, потребляющих наркотические и токсикоманические вещества, составляет 38 человек, из них на диспансерном учёте: 24 наркомана и 2 токсикомана (все совершеннолетние), на профучете: 12– эпизодическое употребление наркотических веществ (из них 1 подросток). </w:t>
      </w:r>
    </w:p>
    <w:p w14:paraId="7BB9923A" w14:textId="6AA38D86"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На диспансерный учет по поводу синдрома зависимости от наркотических веществ взят 1 человек (повторно). Взято на профилактический учет 8 пациентов употребляющих наркотические вещества (6-первично), из них 2 подростка. Снят по соцадаптации 1 пациент с профилактического учета, потребляющий наркотические вещества. Это свидетельствует о налаженном взаимодействии с группой наркоконтороля по выявлению лиц, потребляющих наркотики.</w:t>
      </w:r>
    </w:p>
    <w:p w14:paraId="192BC444" w14:textId="77777777" w:rsidR="00036F7C" w:rsidRPr="00036F7C" w:rsidRDefault="00036F7C" w:rsidP="00036F7C">
      <w:pPr>
        <w:spacing w:after="0" w:line="228" w:lineRule="auto"/>
        <w:jc w:val="both"/>
        <w:rPr>
          <w:rFonts w:ascii="Times New Roman" w:hAnsi="Times New Roman"/>
          <w:i/>
          <w:iCs/>
          <w:sz w:val="30"/>
          <w:szCs w:val="30"/>
        </w:rPr>
      </w:pPr>
      <w:r w:rsidRPr="00036F7C">
        <w:rPr>
          <w:rFonts w:ascii="Times New Roman" w:hAnsi="Times New Roman"/>
          <w:i/>
          <w:iCs/>
          <w:sz w:val="30"/>
          <w:szCs w:val="30"/>
        </w:rPr>
        <w:t xml:space="preserve">За 6 месяцев 2023г пролечено стационарно 1 пациент, потребляющий наркотики, амбулаторно 6 человек, состоящих на диспансерном учете по поводу наркомании. </w:t>
      </w:r>
    </w:p>
    <w:p w14:paraId="3F152EA8"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Заместительная метадоновая терапия в Слонимском районе не проводится.</w:t>
      </w:r>
    </w:p>
    <w:p w14:paraId="2AABC796"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В наркологическом кабинете ПНДО внедряются современные методы лечения, при этом акцент делается на немедикаментозное лечение, проводится психотерапия (групповая, индивидуальная, семейная).</w:t>
      </w:r>
    </w:p>
    <w:p w14:paraId="1B149631"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Лицам, состоящим на наркологическом учете по поводу наркомании, токсикомании предлагается пройти лечение в отделениях реабилитации на базе УЗ «ГОКЦ «Психиатрия-наркология», РНПЦ «Психического здоровья» на безвозмездной основе, либо анонимно платно. Работа с родственниками зависимых строится во взаимодействии с общественной организацией АЛАНОН и общественной организацией «Матери против наркотиков».</w:t>
      </w:r>
    </w:p>
    <w:p w14:paraId="7FD2A153" w14:textId="3982F5CC"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С августа 2011 года проводится реабилитация лиц, зависимых от психоактивных веществ, в православном «Центре реабилитации зависимых от алкоголя и наркотиков «Анастасис»», находящегося под патронатом Новогрудской Епархии, расположенном в деревне Сосновка Слонимского района. Проконсультировано из реабилитационного центра за 6 месяцев 2023г 2 пациента врачом-наркологом ПНДО. </w:t>
      </w:r>
      <w:r w:rsidR="00F11F91" w:rsidRPr="00036F7C">
        <w:rPr>
          <w:rFonts w:ascii="Times New Roman" w:hAnsi="Times New Roman"/>
          <w:i/>
          <w:iCs/>
          <w:sz w:val="30"/>
          <w:szCs w:val="30"/>
        </w:rPr>
        <w:t>Кроме того,</w:t>
      </w:r>
      <w:r w:rsidRPr="00036F7C">
        <w:rPr>
          <w:rFonts w:ascii="Times New Roman" w:hAnsi="Times New Roman"/>
          <w:i/>
          <w:iCs/>
          <w:sz w:val="30"/>
          <w:szCs w:val="30"/>
        </w:rPr>
        <w:t xml:space="preserve"> </w:t>
      </w:r>
      <w:r w:rsidR="00F11F91" w:rsidRPr="00036F7C">
        <w:rPr>
          <w:rFonts w:ascii="Times New Roman" w:hAnsi="Times New Roman"/>
          <w:i/>
          <w:iCs/>
          <w:sz w:val="30"/>
          <w:szCs w:val="30"/>
        </w:rPr>
        <w:t>пациенты,</w:t>
      </w:r>
      <w:r w:rsidRPr="00036F7C">
        <w:rPr>
          <w:rFonts w:ascii="Times New Roman" w:hAnsi="Times New Roman"/>
          <w:i/>
          <w:iCs/>
          <w:sz w:val="30"/>
          <w:szCs w:val="30"/>
        </w:rPr>
        <w:t xml:space="preserve"> проходящие реабилитацию в данном реабилитационном центре и работающие там </w:t>
      </w:r>
      <w:r w:rsidR="00F11F91" w:rsidRPr="00036F7C">
        <w:rPr>
          <w:rFonts w:ascii="Times New Roman" w:hAnsi="Times New Roman"/>
          <w:i/>
          <w:iCs/>
          <w:sz w:val="30"/>
          <w:szCs w:val="30"/>
        </w:rPr>
        <w:t>волонтерами,</w:t>
      </w:r>
      <w:r w:rsidRPr="00036F7C">
        <w:rPr>
          <w:rFonts w:ascii="Times New Roman" w:hAnsi="Times New Roman"/>
          <w:i/>
          <w:iCs/>
          <w:sz w:val="30"/>
          <w:szCs w:val="30"/>
        </w:rPr>
        <w:t xml:space="preserve"> состоят на ДН у врача-нарколога.</w:t>
      </w:r>
    </w:p>
    <w:p w14:paraId="4E83F0F3"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В Слонимском районе функционирует несколько групп анонимных алкоголиков. Самая большая группа «Монолит» в г. Слониме, создана в апреле 1998 года. В ПНДО имеется настенный стенд с информацией о работе данной группы и ее координатами. Каждому пациенту на приеме у врача-нарколога дается визитка группы АА., печатная литература о работе АА, особенно тем, кто прошел лечение в реабилитационных отделениях ГОКЦ «Психиатрия-наркология» и РНПЦ «Психического здоровья». </w:t>
      </w:r>
    </w:p>
    <w:p w14:paraId="36BF8799"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В рамках реализации государственного социального заказа ПНДО наладило взаимодействие с общественной организацией «Матери против наркотиков» по оказанию помощи лицам из числа семей, в которых один из членов семей потребляет наркотики, организованы еженедельные психологические тренинги на базе ПНДО. </w:t>
      </w:r>
    </w:p>
    <w:p w14:paraId="6CC1D2F1" w14:textId="701C684D" w:rsidR="00036F7C" w:rsidRPr="00036F7C" w:rsidRDefault="00036F7C" w:rsidP="00F11F91">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Налажено взаимодействие с пациентами, страдающими наркотической зависимостью, находящихся в длительной ремиссии, которые охотно посещают ПНДО еженедельно по пятницам, проводят консультации зависимым пациентам. </w:t>
      </w:r>
    </w:p>
    <w:p w14:paraId="6F0FB895" w14:textId="5720AFB4" w:rsid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Созданы информационные бюллетени по профилактике наркомании, которые распространены на предприятиях района и в учебных заведениях.</w:t>
      </w:r>
    </w:p>
    <w:p w14:paraId="1C01773E" w14:textId="3423C645" w:rsid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В ПНДО УЗ «Слонимская ЦРБ» на постоянной основе изучается социальный портрет наркопотребителя: как правило это молодые люди (17-30 лет), с неполным средним, либо базовым образованием с отягощенной психопатологически наследственностью, не имеющих постоянного места работы, эмоционально неустойчивые. Конъюнктура наркотиков, потребляемых на территории Слонимского района: 40% опий, 10% марихуана, 50 % синтетические наркотики.</w:t>
      </w:r>
    </w:p>
    <w:p w14:paraId="43DB2C9A"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Сотрудниками Слонимского РОВД проводится целенаправленная работа по выявлению надписей на зданиях, сооружениях, рекламирующих деятельность интернет-магазинов, специализирующихся на реализации наркотических средств, психотропных веществ. Все подобные факты задокументированы, после чего дана правовая оценка в соответствии с нормами законодательства. Надписи пронаркотического содержания, выявляемые на зданиях и объектах инфраструктуры, рекламирующие деятельность интернет-магазинов по сбыту наркотиков устранялись в день обнаружения незамедлительно. Всего за 6 месяцев 2023 года устранено 9 таких надписей на зданиях и объектах инфраструктуры, находящихся в ведении ГУП «Слонимское ЖКХ» Обо всех фактах, незамедлительно сообщалось в территориальный ОВД.</w:t>
      </w:r>
    </w:p>
    <w:p w14:paraId="5B7A05CE" w14:textId="6BB969D6" w:rsid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В квитанциях об оплате за жилищно-коммунальные услуги </w:t>
      </w:r>
      <w:r w:rsidR="00F11F91">
        <w:rPr>
          <w:rFonts w:ascii="Times New Roman" w:hAnsi="Times New Roman"/>
          <w:i/>
          <w:iCs/>
          <w:sz w:val="30"/>
          <w:szCs w:val="30"/>
        </w:rPr>
        <w:t>периодически</w:t>
      </w:r>
      <w:r w:rsidRPr="00036F7C">
        <w:rPr>
          <w:rFonts w:ascii="Times New Roman" w:hAnsi="Times New Roman"/>
          <w:i/>
          <w:iCs/>
          <w:sz w:val="30"/>
          <w:szCs w:val="30"/>
        </w:rPr>
        <w:t xml:space="preserve"> размещ</w:t>
      </w:r>
      <w:r w:rsidR="00F11F91">
        <w:rPr>
          <w:rFonts w:ascii="Times New Roman" w:hAnsi="Times New Roman"/>
          <w:i/>
          <w:iCs/>
          <w:sz w:val="30"/>
          <w:szCs w:val="30"/>
        </w:rPr>
        <w:t>ается</w:t>
      </w:r>
      <w:bookmarkStart w:id="0" w:name="_GoBack"/>
      <w:bookmarkEnd w:id="0"/>
      <w:r w:rsidRPr="00036F7C">
        <w:rPr>
          <w:rFonts w:ascii="Times New Roman" w:hAnsi="Times New Roman"/>
          <w:i/>
          <w:iCs/>
          <w:sz w:val="30"/>
          <w:szCs w:val="30"/>
        </w:rPr>
        <w:t xml:space="preserve"> информация антинаркотической направленности.</w:t>
      </w:r>
    </w:p>
    <w:p w14:paraId="3376D89A" w14:textId="65BCF12F" w:rsid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В Telegram-канале создана группа «Стоп-наркотик Слоним». По мере поступления профилактический материалов в группе, информация доводится до сведения учащихся и законных представителей посредством родительских и ученических чатов, групп в социальных сетях.  </w:t>
      </w:r>
    </w:p>
    <w:p w14:paraId="1C7D77C3" w14:textId="3DC5B343" w:rsidR="00036F7C" w:rsidRPr="008134D0"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С целью профилактики распространения наркомании среди учащихся и формирования негативного отношения в обществе к немедицинскому потреблению наркотиков в учреждениях образования района проведены информационно-просветительские кампании, посвященные международному Дню борьбы с наркотиками (1 марта) и Международному дню борьбы с наркоманией и наркобизнесом (26 июня).</w:t>
      </w:r>
    </w:p>
    <w:sectPr w:rsidR="00036F7C" w:rsidRPr="008134D0" w:rsidSect="004F7C8D">
      <w:headerReference w:type="default" r:id="rId8"/>
      <w:pgSz w:w="11906" w:h="16838"/>
      <w:pgMar w:top="1134"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562A" w14:textId="77777777" w:rsidR="004774FB" w:rsidRDefault="004774FB" w:rsidP="003C3604">
      <w:pPr>
        <w:spacing w:after="0" w:line="240" w:lineRule="auto"/>
      </w:pPr>
      <w:r>
        <w:separator/>
      </w:r>
    </w:p>
  </w:endnote>
  <w:endnote w:type="continuationSeparator" w:id="0">
    <w:p w14:paraId="62637237" w14:textId="77777777" w:rsidR="004774FB" w:rsidRDefault="004774F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C1198" w14:textId="77777777" w:rsidR="004774FB" w:rsidRDefault="004774FB" w:rsidP="003C3604">
      <w:pPr>
        <w:spacing w:after="0" w:line="240" w:lineRule="auto"/>
      </w:pPr>
      <w:r>
        <w:separator/>
      </w:r>
    </w:p>
  </w:footnote>
  <w:footnote w:type="continuationSeparator" w:id="0">
    <w:p w14:paraId="132CD252" w14:textId="77777777" w:rsidR="004774FB" w:rsidRDefault="004774FB"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F4E4" w14:textId="77777777" w:rsidR="00105488" w:rsidRPr="003C3604" w:rsidRDefault="00105488" w:rsidP="004304FF">
    <w:pPr>
      <w:pStyle w:val="a8"/>
      <w:jc w:val="center"/>
      <w:rPr>
        <w:rFonts w:ascii="Times New Roman" w:hAnsi="Times New Roman"/>
        <w:sz w:val="28"/>
      </w:rPr>
    </w:pPr>
  </w:p>
  <w:p w14:paraId="311A0D0F" w14:textId="2C21D1A2" w:rsidR="00105488" w:rsidRPr="004304FF" w:rsidRDefault="00105488" w:rsidP="004304FF">
    <w:pPr>
      <w:pStyle w:val="a8"/>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F7C8D">
      <w:rPr>
        <w:rFonts w:ascii="Times New Roman" w:hAnsi="Times New Roman"/>
        <w:noProof/>
        <w:sz w:val="24"/>
        <w:szCs w:val="24"/>
      </w:rPr>
      <w:t>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105CF"/>
    <w:rsid w:val="00010CAA"/>
    <w:rsid w:val="000115EC"/>
    <w:rsid w:val="00011D60"/>
    <w:rsid w:val="00012091"/>
    <w:rsid w:val="00020328"/>
    <w:rsid w:val="00026975"/>
    <w:rsid w:val="0002697C"/>
    <w:rsid w:val="00036F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0F79D7"/>
    <w:rsid w:val="00105488"/>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5F07"/>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867B3"/>
    <w:rsid w:val="00392452"/>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24672"/>
    <w:rsid w:val="004304FF"/>
    <w:rsid w:val="00433CB6"/>
    <w:rsid w:val="00441A73"/>
    <w:rsid w:val="00447377"/>
    <w:rsid w:val="00447491"/>
    <w:rsid w:val="00452EC9"/>
    <w:rsid w:val="0046283A"/>
    <w:rsid w:val="00466622"/>
    <w:rsid w:val="00470683"/>
    <w:rsid w:val="00470D10"/>
    <w:rsid w:val="00474F03"/>
    <w:rsid w:val="00476353"/>
    <w:rsid w:val="004774FB"/>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4F7C8D"/>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6EE8"/>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0278"/>
    <w:rsid w:val="006C1FF2"/>
    <w:rsid w:val="006C466C"/>
    <w:rsid w:val="006D6FC0"/>
    <w:rsid w:val="006D7022"/>
    <w:rsid w:val="006F0408"/>
    <w:rsid w:val="006F5CB3"/>
    <w:rsid w:val="00700872"/>
    <w:rsid w:val="0070173E"/>
    <w:rsid w:val="00702577"/>
    <w:rsid w:val="00704C36"/>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134D0"/>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1EBC"/>
    <w:rsid w:val="008A3246"/>
    <w:rsid w:val="008B227F"/>
    <w:rsid w:val="008B3313"/>
    <w:rsid w:val="008B73D5"/>
    <w:rsid w:val="008C228C"/>
    <w:rsid w:val="008E111A"/>
    <w:rsid w:val="008E243A"/>
    <w:rsid w:val="008E3EB0"/>
    <w:rsid w:val="008E45B4"/>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64837"/>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6F"/>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46030"/>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D298A"/>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15427"/>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C73F5"/>
    <w:rsid w:val="00CD267F"/>
    <w:rsid w:val="00CE4AE5"/>
    <w:rsid w:val="00CE4CBC"/>
    <w:rsid w:val="00CF4734"/>
    <w:rsid w:val="00CF4FD4"/>
    <w:rsid w:val="00CF78C2"/>
    <w:rsid w:val="00D011CC"/>
    <w:rsid w:val="00D05368"/>
    <w:rsid w:val="00D06679"/>
    <w:rsid w:val="00D22BF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B50DE"/>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7E41"/>
    <w:rsid w:val="00F11F9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15:docId w15:val="{0B975ECF-C531-4DBC-AC7A-1F274958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F6C0-CAD4-4EA7-AE8D-5BC37352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Наталья Н.М. Гончарук</cp:lastModifiedBy>
  <cp:revision>3</cp:revision>
  <cp:lastPrinted>2022-03-04T09:44:00Z</cp:lastPrinted>
  <dcterms:created xsi:type="dcterms:W3CDTF">2023-07-17T13:27:00Z</dcterms:created>
  <dcterms:modified xsi:type="dcterms:W3CDTF">2023-07-18T07:49:00Z</dcterms:modified>
</cp:coreProperties>
</file>